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46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ind w:right="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Нефтеюганск</w:t>
      </w:r>
    </w:p>
    <w:p>
      <w:pPr>
        <w:spacing w:before="0" w:after="0"/>
        <w:ind w:right="20"/>
        <w:jc w:val="both"/>
        <w:rPr>
          <w:sz w:val="12"/>
          <w:szCs w:val="12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 Р.В.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628309 ХМАО-Югра, г. Нефтеюганск, 1 мкр-н, дом 30</w:t>
      </w:r>
      <w:r>
        <w:rPr>
          <w:rFonts w:ascii="Times New Roman" w:eastAsia="Times New Roman" w:hAnsi="Times New Roman" w:cs="Times New Roman"/>
          <w:sz w:val="26"/>
          <w:szCs w:val="26"/>
        </w:rPr>
        <w:t>), рассмотрев в открытом судебном заседании дело об административном правонарушении в отношении: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Гусейновой Марины Александровны, </w:t>
      </w:r>
      <w:r>
        <w:rPr>
          <w:rStyle w:val="cat-ExternalSystemDefinedgrp-59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44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работающей </w:t>
      </w:r>
      <w:r>
        <w:rPr>
          <w:rFonts w:ascii="Times New Roman" w:eastAsia="Times New Roman" w:hAnsi="Times New Roman" w:cs="Times New Roman"/>
          <w:sz w:val="26"/>
          <w:szCs w:val="26"/>
        </w:rPr>
        <w:t>главным бухгалтером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</w:t>
      </w:r>
      <w:r>
        <w:rPr>
          <w:rFonts w:ascii="Times New Roman" w:eastAsia="Times New Roman" w:hAnsi="Times New Roman" w:cs="Times New Roman"/>
          <w:sz w:val="26"/>
          <w:szCs w:val="26"/>
        </w:rPr>
        <w:t>Свет Энергия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зарегистрированной и проживающей по адресу: </w:t>
      </w:r>
      <w:r>
        <w:rPr>
          <w:rStyle w:val="cat-UserDefinedgrp-60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45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57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58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15.33.2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Гусейнова М.А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главным бухгалтером ООО «Свет Энергия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6"/>
          <w:szCs w:val="26"/>
        </w:rPr>
        <w:t>ул. Строителей, стр</w:t>
      </w:r>
      <w:r>
        <w:rPr>
          <w:rFonts w:ascii="Times New Roman" w:eastAsia="Times New Roman" w:hAnsi="Times New Roman" w:cs="Times New Roman"/>
          <w:sz w:val="26"/>
          <w:szCs w:val="26"/>
        </w:rPr>
        <w:t>оение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3/1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19.10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дополняющие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 застрахованных лицах по форме СЗВ-М (далее отчет СЗВ-М) за </w:t>
      </w:r>
      <w:r>
        <w:rPr>
          <w:rFonts w:ascii="Times New Roman" w:eastAsia="Times New Roman" w:hAnsi="Times New Roman" w:cs="Times New Roman"/>
          <w:sz w:val="26"/>
          <w:szCs w:val="26"/>
        </w:rPr>
        <w:t>декабрь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которые согласно п. 2.2 ст. 11 Федерального Закона от 01.04.1996 № 27-ФЗ «Об индивидуальном (персонифицированном) учете в системе обязательного пенсионного страхования» плательщики страховых взносов – организации и индивидуальные предприниматели предоставляют в орган контроля за уплатой страховых взносов по месту своего учета не позднее 15-го числа календарного месяца, следующего за отчетным периодом в территориальный орган Пенсионного фонда РФ. Срок предоставления СЗВ-М за </w:t>
      </w:r>
      <w:r>
        <w:rPr>
          <w:rFonts w:ascii="Times New Roman" w:eastAsia="Times New Roman" w:hAnsi="Times New Roman" w:cs="Times New Roman"/>
          <w:sz w:val="26"/>
          <w:szCs w:val="26"/>
        </w:rPr>
        <w:t>декабрь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до 24:00 час. </w:t>
      </w:r>
      <w:r>
        <w:rPr>
          <w:rFonts w:ascii="Times New Roman" w:eastAsia="Times New Roman" w:hAnsi="Times New Roman" w:cs="Times New Roman"/>
          <w:sz w:val="26"/>
          <w:szCs w:val="26"/>
        </w:rPr>
        <w:t>16.01.2023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Гусейнова М.А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просил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рассмотреть дело в 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отсутствие,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правонарушением согласна,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что следует из </w:t>
      </w:r>
      <w:r>
        <w:rPr>
          <w:rFonts w:ascii="Times New Roman" w:eastAsia="Times New Roman" w:hAnsi="Times New Roman" w:cs="Times New Roman"/>
          <w:sz w:val="26"/>
          <w:szCs w:val="26"/>
        </w:rPr>
        <w:t>телефонограммы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п.6 постановления Пленума ВС РФ от 24.03.2005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 «О некоторых вопросах, возникающих у судов при применении КоАП РФ» и п. 14 постановления Пленума ВС РФ от 27.12.2007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Гусейнов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</w:t>
      </w:r>
      <w:r>
        <w:rPr>
          <w:rFonts w:ascii="Times New Roman" w:eastAsia="Times New Roman" w:hAnsi="Times New Roman" w:cs="Times New Roman"/>
          <w:sz w:val="26"/>
          <w:szCs w:val="26"/>
        </w:rPr>
        <w:t>. в ее отсутствие.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Гусейнов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61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18.12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главный бухгалтер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Гусейнова М.А</w:t>
      </w:r>
      <w:r>
        <w:rPr>
          <w:rFonts w:ascii="Times New Roman" w:eastAsia="Times New Roman" w:hAnsi="Times New Roman" w:cs="Times New Roman"/>
          <w:sz w:val="26"/>
          <w:szCs w:val="26"/>
        </w:rPr>
        <w:t>.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нарушением установленного законодательством Российской Федерации срока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дополняющие сведения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застрахованн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eastAsia="Times New Roman" w:hAnsi="Times New Roman" w:cs="Times New Roman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форме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СЗВ-М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декабрь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выпиской из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ЕГРЮЛ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ООО «Свет Энергия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приказа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28.06.2022 </w:t>
      </w:r>
      <w:r>
        <w:rPr>
          <w:rFonts w:ascii="Times New Roman" w:eastAsia="Times New Roman" w:hAnsi="Times New Roman" w:cs="Times New Roman"/>
          <w:sz w:val="26"/>
          <w:szCs w:val="26"/>
        </w:rPr>
        <w:t>о приеме на работу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Гусейнов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должность главного бухгалтера </w:t>
      </w:r>
      <w:r>
        <w:rPr>
          <w:rFonts w:ascii="Times New Roman" w:eastAsia="Times New Roman" w:hAnsi="Times New Roman" w:cs="Times New Roman"/>
          <w:sz w:val="26"/>
          <w:szCs w:val="26"/>
        </w:rPr>
        <w:t>ООО «Свет Энергия»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должностной инструкцией главного бухгалтера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филиала </w:t>
      </w:r>
      <w:r>
        <w:rPr>
          <w:rFonts w:ascii="Times New Roman" w:eastAsia="Times New Roman" w:hAnsi="Times New Roman" w:cs="Times New Roman"/>
          <w:sz w:val="26"/>
          <w:szCs w:val="26"/>
        </w:rPr>
        <w:t>ООО «Свет Энергия»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г. Нефтеюганске;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отчета по форме СЗВ-М исходная за </w:t>
      </w:r>
      <w:r>
        <w:rPr>
          <w:rFonts w:ascii="Times New Roman" w:eastAsia="Times New Roman" w:hAnsi="Times New Roman" w:cs="Times New Roman"/>
          <w:sz w:val="26"/>
          <w:szCs w:val="26"/>
        </w:rPr>
        <w:t>декабрь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2022 года; извещением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доставке отчета по форме СЗВ-М исходная </w:t>
      </w:r>
      <w:r>
        <w:rPr>
          <w:rFonts w:ascii="Times New Roman" w:eastAsia="Times New Roman" w:hAnsi="Times New Roman" w:cs="Times New Roman"/>
          <w:sz w:val="26"/>
          <w:szCs w:val="26"/>
        </w:rPr>
        <w:t>10.01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копией отчета по форме СЗВ-М дополняющая за декабрь 2022 года; уведомлением о доставке отчета по форме СЗВ-М исходная 19.10.2023;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уведомление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01.11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, извещением о доставке, списком внутренних почтовых отправлений,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отчетом об отслеживании отправления с почтовым идентификатором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выпиской из журнала учета телефонограмм, факсограмм и электронных сообщений;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акт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выявлении правонарушения от </w:t>
      </w:r>
      <w:r>
        <w:rPr>
          <w:rFonts w:ascii="Times New Roman" w:eastAsia="Times New Roman" w:hAnsi="Times New Roman" w:cs="Times New Roman"/>
          <w:sz w:val="26"/>
          <w:szCs w:val="26"/>
        </w:rPr>
        <w:t>30.10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списком внутренних почтовых отправлений о направлении копии протокола об административн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 правонарушении.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2.2 ст. 11 Феде</w:t>
      </w:r>
      <w:r>
        <w:rPr>
          <w:rFonts w:ascii="Times New Roman" w:eastAsia="Times New Roman" w:hAnsi="Times New Roman" w:cs="Times New Roman"/>
          <w:sz w:val="26"/>
          <w:szCs w:val="26"/>
        </w:rPr>
        <w:t>рального Закона от 01.04.1996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27-ФЗ «Об индивидуальном (персонифицированном) учете в системе обязательного пенсионного страхования», страхователи ежемесячно представляют в установленном порядке сведения для индивидуального (персонифицированного) учета в органы Пенсионного фонда Российской Федерации по месту их регистрации не позднее 15-го числа месяца, следующего за отчетным периодом - месяцем, о каждом работающем у него застрахованном лице (включая лиц, заключивших договоры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ООО «Свет Энергия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нарушило установленные сроки, предоставив сведения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застрахованных лицах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декабрь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лишь </w:t>
      </w:r>
      <w:r>
        <w:rPr>
          <w:rFonts w:ascii="Times New Roman" w:eastAsia="Times New Roman" w:hAnsi="Times New Roman" w:cs="Times New Roman"/>
          <w:sz w:val="26"/>
          <w:szCs w:val="26"/>
        </w:rPr>
        <w:t>19.10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Статьей 2.4 Кодекса Российской Федерации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Пунктом 7 статьи 3 Федерального закона от 06.12.2011 г. № 402-ФЗ «О бухгалтерском учете», определено,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п. 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3 ст. 7 Федерального закона от 06.12.2011 г. № 402-ФЗ «О бухгалтерском учете», на Гусейнов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 должностной инструкцией ООО «Свет Энергия» возложены функций по составлению и отправке отчетности в контролирующие органы, в том числе пенсионный фонд.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Гусейновой М.А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15.33.2 Кодекса Российской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Федерации об административных правонарушениях, как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 равно представление таких сведений в неполном объеме,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исключением случаев,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предусмотренных частью 2 настоящей статьи.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учитывает характер совершенного правонарушения, личность лица, привлекаемого к административной ответственности, его имущественное положение.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мировой судья не усматривает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учётом изложенного, руководствуясь ст.ст. 29.9 ч.1, 29.10, 32.2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главн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бухгалтер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«Свет Энергия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Гусейнов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Александровн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15.33.2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триста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лежит уплате по реквизитам: наименование получателя платежа - </w:t>
      </w:r>
      <w:r>
        <w:rPr>
          <w:rFonts w:ascii="Times New Roman" w:eastAsia="Times New Roman" w:hAnsi="Times New Roman" w:cs="Times New Roman"/>
          <w:sz w:val="26"/>
          <w:szCs w:val="26"/>
        </w:rPr>
        <w:t>УФК ПО Ханты-Мансийскому автономному округу - Югре (ОСФР по ХМАО - Югре, л/с 04874Ф87010)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получателя платежа - 8601002078 КПП получателя платежа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860101001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Счет получателя платежа (номер казначейского счета, Р/счет) - 03100643000000018700;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Номер счета банка получателя (номер банковского счета, входящего в состав единого казначейского счета, Кор/счет)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40102810245370000007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Наименование банка получателя — РКЦ Ханты-Мансийск//УФК по Ханты-Мансийскому автономному округу - Югре г. Ханты-Мансийск БИК ТОФК - 007162163 ОКТМО 71 874 000 (г.Нефтеюганск),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ОКТМО 71 818 000 (Нефтеюганский район),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ОКТМО 71885000 (Пыть-Ях), </w:t>
      </w:r>
      <w:r>
        <w:rPr>
          <w:rFonts w:ascii="Times New Roman" w:eastAsia="Times New Roman" w:hAnsi="Times New Roman" w:cs="Times New Roman"/>
          <w:sz w:val="26"/>
          <w:szCs w:val="26"/>
        </w:rPr>
        <w:t>КБК 797116012300600001140 УИН 79702700000000044660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за неуплату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установленный срок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tabs>
          <w:tab w:val="left" w:pos="6570"/>
        </w:tabs>
        <w:spacing w:before="0" w:after="0"/>
        <w:ind w:left="1560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Р.В. Агзямова</w:t>
      </w:r>
    </w:p>
    <w:p>
      <w:pPr>
        <w:spacing w:before="0" w:after="0"/>
        <w:rPr>
          <w:sz w:val="12"/>
          <w:szCs w:val="12"/>
        </w:rPr>
      </w:pPr>
    </w:p>
    <w:p>
      <w:pPr>
        <w:spacing w:before="0" w:after="0"/>
        <w:rPr>
          <w:sz w:val="12"/>
          <w:szCs w:val="12"/>
        </w:rPr>
      </w:pPr>
    </w:p>
    <w:p>
      <w:pPr>
        <w:spacing w:before="0" w:after="0"/>
        <w:rPr>
          <w:sz w:val="12"/>
          <w:szCs w:val="12"/>
        </w:rPr>
      </w:pPr>
    </w:p>
    <w:p>
      <w:pPr>
        <w:spacing w:before="0" w:after="0"/>
        <w:rPr>
          <w:sz w:val="12"/>
          <w:szCs w:val="12"/>
        </w:rPr>
      </w:pPr>
    </w:p>
    <w:p>
      <w:pPr>
        <w:spacing w:before="0" w:after="0"/>
        <w:rPr>
          <w:sz w:val="12"/>
          <w:szCs w:val="12"/>
        </w:rPr>
      </w:pPr>
    </w:p>
    <w:p>
      <w:pPr>
        <w:spacing w:before="0" w:after="0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851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1276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65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5"/>
        <w:gridCol w:w="5660"/>
      </w:tblGrid>
      <w:tr>
        <w:tblPrEx>
          <w:tblW w:w="1046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1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ind w:left="567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9rplc-6">
    <w:name w:val="cat-ExternalSystemDefined grp-59 rplc-6"/>
    <w:basedOn w:val="DefaultParagraphFont"/>
  </w:style>
  <w:style w:type="character" w:customStyle="1" w:styleId="cat-PassportDatagrp-44rplc-7">
    <w:name w:val="cat-PassportData grp-44 rplc-7"/>
    <w:basedOn w:val="DefaultParagraphFont"/>
  </w:style>
  <w:style w:type="character" w:customStyle="1" w:styleId="cat-UserDefinedgrp-60rplc-9">
    <w:name w:val="cat-UserDefined grp-60 rplc-9"/>
    <w:basedOn w:val="DefaultParagraphFont"/>
  </w:style>
  <w:style w:type="character" w:customStyle="1" w:styleId="cat-PassportDatagrp-45rplc-11">
    <w:name w:val="cat-PassportData grp-45 rplc-11"/>
    <w:basedOn w:val="DefaultParagraphFont"/>
  </w:style>
  <w:style w:type="character" w:customStyle="1" w:styleId="cat-ExternalSystemDefinedgrp-57rplc-12">
    <w:name w:val="cat-ExternalSystemDefined grp-57 rplc-12"/>
    <w:basedOn w:val="DefaultParagraphFont"/>
  </w:style>
  <w:style w:type="character" w:customStyle="1" w:styleId="cat-ExternalSystemDefinedgrp-58rplc-13">
    <w:name w:val="cat-ExternalSystemDefined grp-58 rplc-13"/>
    <w:basedOn w:val="DefaultParagraphFont"/>
  </w:style>
  <w:style w:type="character" w:customStyle="1" w:styleId="cat-UserDefinedgrp-61rplc-27">
    <w:name w:val="cat-UserDefined grp-61 rplc-27"/>
    <w:basedOn w:val="DefaultParagraphFont"/>
  </w:style>
  <w:style w:type="character" w:customStyle="1" w:styleId="cat-UserDefinedgrp-62rplc-69">
    <w:name w:val="cat-UserDefined grp-62 rplc-69"/>
    <w:basedOn w:val="DefaultParagraphFont"/>
  </w:style>
  <w:style w:type="character" w:customStyle="1" w:styleId="cat-UserDefinedgrp-63rplc-72">
    <w:name w:val="cat-UserDefined grp-63 rplc-7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